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585"/>
      </w:tblGrid>
      <w:tr w:rsidR="008B59FC" w:rsidTr="219C80D0" w14:paraId="1C9EAE48" w14:textId="77777777">
        <w:tc>
          <w:tcPr>
            <w:tcW w:w="0" w:type="auto"/>
            <w:tcBorders>
              <w:top w:val="single" w:color="909090" w:sz="8" w:space="0"/>
              <w:left w:val="single" w:color="909090" w:sz="8" w:space="0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083B3F5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Agenda Item Dec 4, 2023</w:t>
            </w:r>
          </w:p>
        </w:tc>
        <w:tc>
          <w:tcPr>
            <w:tcW w:w="0" w:type="auto"/>
            <w:tcBorders>
              <w:top w:val="single" w:color="909090" w:sz="8" w:space="0"/>
              <w:left w:val="nil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63FA83C9" w14:textId="77777777">
            <w:r>
              <w:rPr>
                <w:b/>
                <w:bCs/>
              </w:rPr>
              <w:t>Discussion / Action Item</w:t>
            </w:r>
            <w:r>
              <w:t> </w:t>
            </w:r>
          </w:p>
        </w:tc>
      </w:tr>
      <w:tr w:rsidR="008B59FC" w:rsidTr="219C80D0" w14:paraId="63051D38" w14:textId="77777777">
        <w:tc>
          <w:tcPr>
            <w:tcW w:w="0" w:type="auto"/>
            <w:tcBorders>
              <w:top w:val="nil"/>
              <w:left w:val="single" w:color="909090" w:sz="8" w:space="0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0E90C817" w14:textId="77777777">
            <w:r>
              <w:t>Update Plan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6358DC37" w14:textId="0A8D0DD0">
            <w:r>
              <w:t>Plan updated with evidence added</w:t>
            </w:r>
          </w:p>
        </w:tc>
      </w:tr>
      <w:tr w:rsidR="008B59FC" w:rsidTr="219C80D0" w14:paraId="0C669371" w14:textId="77777777">
        <w:tc>
          <w:tcPr>
            <w:tcW w:w="0" w:type="auto"/>
            <w:tcBorders>
              <w:top w:val="nil"/>
              <w:left w:val="single" w:color="909090" w:sz="8" w:space="0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563ED51E" w14:textId="77777777">
            <w:r>
              <w:t>Offer learning walks targeting cognitive engagement practices across settings and schools.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4382CFB1" w14:textId="6689F8D5">
            <w:r>
              <w:t xml:space="preserve">BPT discussed next steps in </w:t>
            </w:r>
            <w:r w:rsidR="008B59FC">
              <w:t>establishing learning walks for T</w:t>
            </w:r>
            <w:r w:rsidR="00F95948">
              <w:t>A</w:t>
            </w:r>
            <w:r w:rsidR="008B59FC">
              <w:t>s and teachers.  Discussion centered around removing obstacles for staff with coverage and establishing an incentive provided by the fabulous MSPA.  BPT will share an update on December 21 at an 8:15 am Faculty Meeting</w:t>
            </w:r>
          </w:p>
        </w:tc>
      </w:tr>
      <w:tr w:rsidR="008B59FC" w:rsidTr="219C80D0" w14:paraId="4674EB6E" w14:textId="77777777">
        <w:tc>
          <w:tcPr>
            <w:tcW w:w="0" w:type="auto"/>
            <w:tcBorders>
              <w:top w:val="nil"/>
              <w:left w:val="single" w:color="909090" w:sz="8" w:space="0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56331D3B" w14:textId="125D3B88">
            <w:r>
              <w:t xml:space="preserve">STAR Assemblies dates </w:t>
            </w:r>
            <w:r>
              <w:t>rescheduled.</w:t>
            </w:r>
          </w:p>
          <w:p w:rsidR="007D2673" w:rsidRDefault="007D2673" w14:paraId="01F54FB5" w14:textId="77777777">
            <w:r>
              <w:t>January 19</w:t>
            </w:r>
          </w:p>
          <w:p w:rsidR="007D2673" w:rsidRDefault="007D2673" w14:paraId="3AFF7C1D" w14:textId="77777777">
            <w:r>
              <w:t>March 15</w:t>
            </w:r>
          </w:p>
          <w:p w:rsidR="007D2673" w:rsidRDefault="007D2673" w14:paraId="76494890" w14:textId="77777777">
            <w:r>
              <w:t>May 10</w:t>
            </w:r>
          </w:p>
          <w:p w:rsidR="007D2673" w:rsidRDefault="007D2673" w14:paraId="7471BFF5" w14:textId="77777777">
            <w:r>
              <w:t>June 14 0r 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F14EB6" w:rsidR="007D2673" w:rsidRDefault="007D2673" w14:paraId="48C6EDFB" w14:textId="67F8AFA7">
            <w:pPr>
              <w:rPr>
                <w:color w:val="FF0000"/>
              </w:rPr>
            </w:pPr>
            <w:r w:rsidRPr="00F14EB6">
              <w:rPr>
                <w:color w:val="FF0000"/>
              </w:rPr>
              <w:t xml:space="preserve">Future STAR assemblies </w:t>
            </w:r>
            <w:r w:rsidRPr="00F14EB6" w:rsidR="00AA69D3">
              <w:rPr>
                <w:color w:val="FF0000"/>
              </w:rPr>
              <w:t>re</w:t>
            </w:r>
            <w:r w:rsidRPr="00F14EB6">
              <w:rPr>
                <w:color w:val="FF0000"/>
              </w:rPr>
              <w:t>scheduled during special blocks 1 and 2 and 5 and 6</w:t>
            </w:r>
          </w:p>
          <w:p w:rsidR="007D2673" w:rsidP="007D2673" w:rsidRDefault="007D2673" w14:paraId="12A48815" w14:textId="52537566">
            <w:r>
              <w:t>January 19</w:t>
            </w:r>
            <w:r>
              <w:t xml:space="preserve"> at 9:23 am</w:t>
            </w:r>
          </w:p>
          <w:p w:rsidR="007D2673" w:rsidP="007D2673" w:rsidRDefault="007D2673" w14:paraId="4D05558F" w14:textId="0FC26782">
            <w:r>
              <w:t>March 15</w:t>
            </w:r>
            <w:r>
              <w:t xml:space="preserve"> at 10:11 am</w:t>
            </w:r>
          </w:p>
          <w:p w:rsidR="007D2673" w:rsidP="007D2673" w:rsidRDefault="007D2673" w14:paraId="60B0372C" w14:textId="4FF81A83">
            <w:r>
              <w:t>May 10</w:t>
            </w:r>
            <w:r>
              <w:t xml:space="preserve"> 1:41 pm</w:t>
            </w:r>
          </w:p>
          <w:p w:rsidR="007D2673" w:rsidP="007D2673" w:rsidRDefault="007D2673" w14:paraId="4ADE1FC0" w14:textId="23D3FF01">
            <w:r>
              <w:t>June 14 0r 21</w:t>
            </w:r>
            <w:r>
              <w:t xml:space="preserve"> 2:37 pm.  </w:t>
            </w:r>
          </w:p>
        </w:tc>
      </w:tr>
      <w:tr w:rsidR="00AA69D3" w:rsidTr="219C80D0" w14:paraId="631D9879" w14:textId="77777777">
        <w:tc>
          <w:tcPr>
            <w:tcW w:w="0" w:type="auto"/>
            <w:tcBorders>
              <w:top w:val="nil"/>
              <w:left w:val="single" w:color="909090" w:sz="8" w:space="0"/>
              <w:bottom w:val="nil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D2673" w:rsidRDefault="007D2673" w14:paraId="0E78BD45" w14:textId="77777777">
            <w:r>
              <w:t>Perspective on substitute coverage and discussion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D2673" w:rsidRDefault="007D2673" w14:paraId="4901BF88" w14:textId="6E1E8B88">
            <w:r>
              <w:t xml:space="preserve">BPT discussed the challenges of the current substitute shortage, the impact on students and those who are assigned to fill absences.  </w:t>
            </w:r>
          </w:p>
        </w:tc>
      </w:tr>
      <w:tr w:rsidR="008B59FC" w:rsidTr="219C80D0" w14:paraId="686CD603" w14:textId="77777777">
        <w:tc>
          <w:tcPr>
            <w:tcW w:w="0" w:type="auto"/>
            <w:tcBorders>
              <w:top w:val="nil"/>
              <w:left w:val="single" w:color="909090" w:sz="8" w:space="0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8B59FC" w:rsidRDefault="008B59FC" w14:paraId="66C87730" w14:textId="77777777"/>
        </w:tc>
        <w:tc>
          <w:tcPr>
            <w:tcW w:w="0" w:type="auto"/>
            <w:tcBorders>
              <w:top w:val="nil"/>
              <w:left w:val="nil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8B59FC" w:rsidRDefault="008B59FC" w14:paraId="33914E12" w14:textId="77777777"/>
        </w:tc>
      </w:tr>
      <w:tr w:rsidR="008B59FC" w:rsidTr="219C80D0" w14:paraId="49237D3A" w14:textId="77777777">
        <w:tc>
          <w:tcPr>
            <w:tcW w:w="0" w:type="auto"/>
            <w:tcBorders>
              <w:top w:val="nil"/>
              <w:left w:val="single" w:color="909090" w:sz="8" w:space="0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8B59FC" w:rsidRDefault="00EE67E5" w14:paraId="25B0FD56" w14:textId="125D75B8">
            <w:r>
              <w:t>Liaisons</w:t>
            </w:r>
            <w:r>
              <w:t xml:space="preserve"> </w:t>
            </w:r>
            <w:r w:rsidR="008B59FC">
              <w:t>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909090" w:sz="8" w:space="0"/>
              <w:right w:val="single" w:color="909090" w:sz="8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8B59FC" w:rsidRDefault="00EE67E5" w14:paraId="11F39839" w14:textId="717D301F">
            <w:r w:rsidR="219C80D0">
              <w:rPr/>
              <w:t>Liaisons will meet with their groups to discuss further the BPT decision to hold clusters on the June 6</w:t>
            </w:r>
            <w:r w:rsidRPr="219C80D0" w:rsidR="219C80D0">
              <w:rPr>
                <w:vertAlign w:val="superscript"/>
              </w:rPr>
              <w:t>th</w:t>
            </w:r>
            <w:r w:rsidR="219C80D0">
              <w:rPr/>
              <w:t xml:space="preserve"> am half day, learning walks and brainstorm building based solutions related </w:t>
            </w:r>
            <w:r w:rsidR="219C80D0">
              <w:rPr/>
              <w:t>to the</w:t>
            </w:r>
            <w:r w:rsidR="219C80D0">
              <w:rPr/>
              <w:t xml:space="preserve"> substitute shortage </w:t>
            </w:r>
          </w:p>
        </w:tc>
      </w:tr>
    </w:tbl>
    <w:p w:rsidR="007123CE" w:rsidRDefault="007123CE" w14:paraId="3AC1FD83" w14:textId="77777777"/>
    <w:sectPr w:rsidR="007123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73"/>
    <w:rsid w:val="007123CE"/>
    <w:rsid w:val="007D2673"/>
    <w:rsid w:val="008B59FC"/>
    <w:rsid w:val="00AA69D3"/>
    <w:rsid w:val="00E9756C"/>
    <w:rsid w:val="00EE67E5"/>
    <w:rsid w:val="00F14EB6"/>
    <w:rsid w:val="00F95948"/>
    <w:rsid w:val="219C8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04D8"/>
  <w15:chartTrackingRefBased/>
  <w15:docId w15:val="{E3C0D3BC-16C0-4095-B3CB-4521E0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267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Canny</dc:creator>
  <keywords/>
  <dc:description/>
  <lastModifiedBy>Jessica Minicucci</lastModifiedBy>
  <revision>4</revision>
  <dcterms:created xsi:type="dcterms:W3CDTF">2023-12-05T16:56:00.0000000Z</dcterms:created>
  <dcterms:modified xsi:type="dcterms:W3CDTF">2023-12-11T20:31:14.8913091Z</dcterms:modified>
</coreProperties>
</file>